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76"/>
        <w:jc w:val="both"/>
        <w:rPr>
          <w:rFonts w:ascii="Times New Roman" w:hAnsi="Times New Roman" w:eastAsia="Liberation Sans" w:cs="Times New Roman"/>
          <w:color w:val="000000"/>
          <w:lang w:eastAsia="sk-SK" w:bidi="ar-SA"/>
        </w:rPr>
      </w:pPr>
      <w:bookmarkStart w:id="0" w:name="_GoBack"/>
      <w:bookmarkEnd w:id="0"/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Žiadosť o</w:t>
      </w:r>
      <w:r>
        <w:rPr>
          <w:rFonts w:cs="Times New Roman" w:ascii="Times New Roman" w:hAnsi="Times New Roman"/>
          <w:b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povolenie na odstránenie stavby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Liberation Sans" w:cs="Times New Roman"/>
          <w:color w:val="000000"/>
          <w:lang w:eastAsia="sk-SK" w:bidi="ar-SA"/>
        </w:rPr>
      </w:pPr>
      <w:r>
        <w:rPr/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K žiadosti o povolenie na odstránenie stavby sa pripojí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doklad, ktorým sa preukazuje vlastnícke alebo iné právo k stavbe alebo k pozemkom,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technologický opis prác alebo aj nevyhnutné výkresy úprav pozemku,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v prípade radovej zástavby statické posúdenie, ktorým sa preukazuje zabezpečenie mechanickej odolnosti a stability nosných konštrukcií susedných stavieb a ich bezpečného užívania,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doklady o rokovaniach s dotknutými orgánmi štátnej správy, správcami sietí technického vybavenia a s účastníkmi konania, ak sa o odstránení stavby viedli vopred,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pri stavbách, ktorých odstránenie nebude vykonávať odborne vybavená právnická osoba, vyhlásenie oprávnenej osoby, ktorá sa zaviazala vykonávať odborné vedenie prác spojených s odstránením stavby,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rozhodnutia, stanoviská, vyjadrenia, súhlasy, posúdenia alebo iné opatrenia dotknutých orgánov štátnej správy,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pri stavbe, v ktorej bolo zabudované jadrové zariadenie, povolenie úradu jadrového dozoru udelené na základe posúdenia dokumentácie o jadrovej bezpečnosti pri vyraďovaní podľa osobitného predpisu.</w:t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Ak ide o odstránenie nehnuteľnej kultúrnej pamiatky, žiadosť obsahuje aj fotodokumentáciu, dokumentačné výkresy alebo inú dokumentáciu (napríklad meračskú alebo modelovú).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Ďalšie prílohy: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doklad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zaplatení správneho poplatku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splnomocnenie na zastupovanie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konaní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odstránení stavby (ak žiadosť podáva vlastník stavby prostredníctvom svojho zástupcu)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listy vlastníctva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kópiu z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katastrálnej mapy – pre stavebné pozemky (originály)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listy vlastníctva susedných nehnuteľností (z katasterportálu)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iné (uviesť):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Poznámka: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Rozsah uvedených dokladov môže byť podľa povahy stavby zúžený, ale i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rozšírený o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ďalšie doklady a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údaje potrebné k vydaniu rozhodnutia. Po preskúmaní predložených dokladov môžu podľa povahy veci vyplynúť požiadavky na doplnenie ďalších údajov a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dokladov.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89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reeSans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3fta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 PAGE </w:instrText>
    </w:r>
    <w:r>
      <w:rPr>
        <w:rFonts w:cs="Times New Roman"/>
      </w:rPr>
      <w:fldChar w:fldCharType="separate"/>
    </w:r>
    <w:r>
      <w:rPr>
        <w:rFonts w:cs="Times New Roman"/>
      </w:rPr>
      <w:t>1</w:t>
    </w:r>
    <w:r>
      <w:rPr>
        <w:rFonts w:cs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3fka"/>
      <w:rPr>
        <w:sz w:val="21"/>
      </w:rPr>
    </w:pPr>
    <w:r>
      <w:rPr>
        <w:sz w:val="2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jc w:val="left"/>
    </w:pPr>
    <w:rPr>
      <w:rFonts w:ascii="Liberation Serif" w:hAnsi="Liberation Serif" w:cs="Liberation Serif" w:eastAsia="" w:eastAsiaTheme="minorEastAsia"/>
      <w:color w:val="auto"/>
      <w:kern w:val="2"/>
      <w:sz w:val="24"/>
      <w:szCs w:val="24"/>
      <w:lang w:eastAsia="zh-CN" w:bidi="hi-IN" w:val="sk-SK"/>
    </w:rPr>
  </w:style>
  <w:style w:type="character" w:styleId="DefaultParagraphFont" w:default="1">
    <w:name w:val="Default Paragraph Font"/>
    <w:uiPriority w:val="99"/>
    <w:qFormat/>
    <w:rPr/>
  </w:style>
  <w:style w:type="character" w:styleId="Ra" w:customStyle="1">
    <w:name w:val="ra"/>
    <w:uiPriority w:val="99"/>
    <w:qFormat/>
    <w:rPr/>
  </w:style>
  <w:style w:type="character" w:styleId="Num1" w:customStyle="1">
    <w:name w:val="num1"/>
    <w:basedOn w:val="DefaultParagraphFont"/>
    <w:uiPriority w:val="99"/>
    <w:qFormat/>
    <w:rPr>
      <w:rFonts w:eastAsia="Times New Roman" w:cs="Times New Roman"/>
      <w:b/>
      <w:bCs/>
      <w:color w:val="303030"/>
    </w:rPr>
  </w:style>
  <w:style w:type="character" w:styleId="Pagenumber">
    <w:name w:val="page number"/>
    <w:basedOn w:val="DefaultParagraphFont"/>
    <w:uiPriority w:val="99"/>
    <w:qFormat/>
    <w:rPr>
      <w:rFonts w:eastAsia="Times New Roman" w:cs="Times New Roman"/>
    </w:rPr>
  </w:style>
  <w:style w:type="character" w:styleId="Hlavi3fkaChar" w:customStyle="1">
    <w:name w:val="Hlaviè3fk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P3ftaChar" w:customStyle="1">
    <w:name w:val="Pä3ft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paragraph" w:styleId="Nadpis" w:customStyle="1">
    <w:name w:val="Nadpis"/>
    <w:basedOn w:val="Normal"/>
    <w:next w:val="Telotextu"/>
    <w:uiPriority w:val="99"/>
    <w:qFormat/>
    <w:pPr>
      <w:keepNext w:val="true"/>
      <w:spacing w:before="240" w:after="120"/>
    </w:pPr>
    <w:rPr>
      <w:rFonts w:ascii="FreeSans" w:hAnsi="FreeSans" w:eastAsia="Liberation Sans" w:cs="FreeSans"/>
      <w:color w:val="000000"/>
      <w:sz w:val="28"/>
      <w:szCs w:val="28"/>
    </w:rPr>
  </w:style>
  <w:style w:type="paragraph" w:styleId="Telotextu" w:customStyle="1">
    <w:name w:val="Body Text"/>
    <w:basedOn w:val="Normal"/>
    <w:uiPriority w:val="99"/>
    <w:pPr>
      <w:spacing w:lineRule="auto" w:line="288" w:before="0" w:after="140"/>
    </w:pPr>
    <w:rPr>
      <w:rFonts w:ascii="Liberation Sans" w:hAnsi="Liberation Sans" w:eastAsia="Liberation Sans" w:cs="Liberation Sans"/>
      <w:color w:val="000000"/>
    </w:rPr>
  </w:style>
  <w:style w:type="paragraph" w:styleId="Zoznam">
    <w:name w:val="List"/>
    <w:basedOn w:val="Telotextu"/>
    <w:uiPriority w:val="99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pPr>
      <w:suppressLineNumbers/>
    </w:pPr>
    <w:rPr>
      <w:rFonts w:ascii="Liberation Sans" w:hAnsi="Liberation Sans" w:eastAsia="Liberation Sans" w:cs="Liberation Sans"/>
      <w:color w:val="000000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ascii="Liberation Sans" w:hAnsi="Liberation Sans" w:eastAsia="Liberation Sans" w:cs="Liberation Sans"/>
      <w:i/>
      <w:iCs/>
      <w:color w:val="000000"/>
    </w:rPr>
  </w:style>
  <w:style w:type="paragraph" w:styleId="P3f3fta" w:customStyle="1">
    <w:name w:val="Pä3f3fta"/>
    <w:uiPriority w:val="99"/>
    <w:qFormat/>
    <w:pPr>
      <w:widowControl/>
      <w:tabs>
        <w:tab w:val="clear" w:pos="708"/>
        <w:tab w:val="center" w:pos="4536" w:leader="none"/>
        <w:tab w:val="right" w:pos="9072" w:leader="none"/>
      </w:tabs>
      <w:bidi w:val="0"/>
      <w:spacing w:lineRule="auto" w:line="240" w:before="0" w:after="0"/>
      <w:jc w:val="left"/>
    </w:pPr>
    <w:rPr>
      <w:rFonts w:ascii="Liberation Sans" w:hAnsi="Liberation Sans" w:eastAsia="Liberation Sans" w:cs="Liberation Sans"/>
      <w:color w:val="000000"/>
      <w:kern w:val="2"/>
      <w:sz w:val="24"/>
      <w:szCs w:val="24"/>
      <w:lang w:val="sk-SK" w:eastAsia="sk-SK" w:bidi="ar-SA"/>
    </w:rPr>
  </w:style>
  <w:style w:type="paragraph" w:styleId="Obsahr3f3fmca" w:customStyle="1">
    <w:name w:val="Obsah rá3f3fmca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Liberation Sans" w:hAnsi="Liberation Sans" w:eastAsia="Liberation Sans" w:cs="Liberation Sans"/>
      <w:color w:val="000000"/>
      <w:kern w:val="2"/>
      <w:sz w:val="24"/>
      <w:szCs w:val="24"/>
      <w:lang w:eastAsia="zh-CN" w:bidi="hi-IN" w:val="sk-SK"/>
    </w:rPr>
  </w:style>
  <w:style w:type="paragraph" w:styleId="Hlavi3fka" w:customStyle="1">
    <w:name w:val="Hlavič3fk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Liberation Sans" w:cs="Liberation Sans"/>
      <w:color w:val="000000"/>
    </w:rPr>
  </w:style>
  <w:style w:type="paragraph" w:styleId="P3fta" w:customStyle="1">
    <w:name w:val="Pä3ft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Liberation Sans" w:cs="Liberation Sans"/>
      <w:color w:val="000000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Hlavikaapta"/>
    <w:pPr/>
    <w:rPr/>
  </w:style>
  <w:style w:type="paragraph" w:styleId="Pta">
    <w:name w:val="Footer"/>
    <w:basedOn w:val="Hlavikaapt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LibreOffice/7.1.4.2$Windows_X86_64 LibreOffice_project/a529a4fab45b75fefc5b6226684193eb000654f6</Application>
  <AppVersion>15.0000</AppVersion>
  <Pages>1</Pages>
  <Words>259</Words>
  <Characters>2381</Characters>
  <CharactersWithSpaces>2607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2019-11-18T12:04:00Z</dcterms:created>
  <dc:creator>Zuzana</dc:creator>
  <dc:description/>
  <dc:language>sk-SK</dc:language>
  <cp:lastModifiedBy/>
  <dcterms:modified xsi:type="dcterms:W3CDTF">2022-11-23T11:55:22Z</dcterms:modified>
  <cp:revision>3</cp:revision>
  <dc:subject/>
  <dc:title>Vlastník stavby (alebo jeho splnomocnený zástupca):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