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povolenie terénnych úprav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súlade s § 71, § 72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stavebnom poriadku (ďalej len stavebný zákon) a § 12, § 13 vyhlášky č. 453/2000 Z. z., ktorou sa vykonávajú niektoré ustanovenia stavebného zákona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(stavebné povolenie).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územného rozhodnutia: 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povolenie terénnych úprav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žiadateľa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účel, miesto a predpokladaný čas trvania terénnych úprav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druh terénnych úprav: 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účel terénnych úprav: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charakter terénnych úprav: trvalé - dočasné (nehodiace sa prečiarknuť)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dočasných terénnych úpravách predpokladaný čas trvania terénnych úprav: 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druhy a parcelné čísla pozemkov podľa katastra nehnuteľností, na ktorých sa majú terénne úpravy uskutočňovať, s uvedením vlastníckych alebo iných práv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časový priebeh vykonávania terénnych úprav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začatie: 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ukončenie: 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predpokladaný stavebný náklad: 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kto spracoval dokumentáciu a kto bude vykonávať terénne úpravy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projektant: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aps/>
          <w:color w:val="000000"/>
          <w:lang w:eastAsia="sk-SK" w:bidi="ar-SA"/>
        </w:rPr>
      </w:pPr>
      <w:r>
        <w:rPr>
          <w:rFonts w:cs="Times New Roman" w:ascii="Times New Roman" w:hAnsi="Times New Roman"/>
          <w:caps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 o tom, či sa terénne úpravy budú uskutočňovať oprávneným zhotoviteľom alebo svojpomocou: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numPr>
          <w:ilvl w:val="1"/>
          <w:numId w:val="6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konania, ktorí sú žiadateľovi známi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(parcelné čísla susedných pozemkov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stavieb podľa katastra nehnuteľností, číslo listu vlastníctva /LV/, druh pozemku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uvedením vlastníckeho alebo iného práva)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-234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62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terénnych úprav pre</w:t>
      </w:r>
    </w:p>
    <w:p>
      <w:pPr>
        <w:pStyle w:val="Normal"/>
        <w:widowControl/>
        <w:tabs>
          <w:tab w:val="clear" w:pos="708"/>
          <w:tab w:val="center" w:pos="-2160" w:leader="none"/>
          <w:tab w:val="left" w:pos="2520" w:leader="none"/>
        </w:tabs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2520" w:leader="none"/>
        </w:tabs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Ra" w:customStyle="1">
    <w:name w:val="ra"/>
    <w:uiPriority w:val="99"/>
    <w:qFormat/>
    <w:rPr/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473</Words>
  <Characters>7444</Characters>
  <CharactersWithSpaces>7844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2019-11-18T12:06:00Z</dcterms:created>
  <dc:creator>Zuzana</dc:creator>
  <dc:description/>
  <dc:language>sk-SK</dc:language>
  <cp:lastModifiedBy/>
  <dcterms:modified xsi:type="dcterms:W3CDTF">2022-11-23T12:03:17Z</dcterms:modified>
  <cp:revision>4</cp:revision>
  <dc:subject/>
  <dc:title>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